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p w:rsidR="00A77B3E"/>
    <w:p w:rsidR="00A77B3E">
      <w:pPr>
        <w:pStyle w:val="1"/>
      </w:pPr>
    </w:p>
    <w:p w:rsidR="00A77B3E">
      <w:pPr>
        <w:pStyle w:val="2"/>
      </w:pPr>
    </w:p>
    <w:p w:rsidR="00A77B3E">
      <w:pPr>
        <w:pStyle w:val="3"/>
      </w:pPr>
      <w:r>
        <w:t>I.</w:t>
      </w:r>
    </w:p>
    <w:p w:rsidR="00A77B3E">
      <w:pPr>
        <w:pStyle w:val="2"/>
      </w:pPr>
    </w:p>
    <w:p w:rsidR="00A77B3E">
      <w:pPr>
        <w:pStyle w:val="4"/>
      </w:pPr>
      <w:r>
        <w:t>Informativní přehled veřejnoprávních povinností</w:t>
      </w:r>
    </w:p>
    <w:p w:rsidR="00A77B3E">
      <w:pPr>
        <w:pStyle w:val="5"/>
      </w:pPr>
      <w:r>
        <w:t>Vyhláška, kterou se mění vyhláška č. 474/2002 Sb., kterou se provádí zákon č. 281/2002 Sb., o některých opatřeních souvisejících se zákazem bakteriologických (biologických) a toxinových zbraní a o změně živnostenského zákona, ve znění pozdějších předpisů</w:t>
      </w:r>
    </w:p>
    <w:p w:rsidR="00A77B3E">
      <w:pPr>
        <w:pStyle w:val="6"/>
      </w:pPr>
      <w:r>
        <w:t>Nebyla zadána žádná veřejnoprávní povinnost.</w:t>
      </w:r>
    </w:p>
    <w:p w:rsidR="00A77B3E">
      <w:pPr>
        <w:pStyle w:val="5"/>
      </w:pPr>
      <w:r>
        <w:t>Informativní přehled veřejnoprávních povinností vyplývajících z vyhlášky č. 474/2002 Sb., ve znění vyhlášky č. 74/2013 Sb. a vyhlášky č. 379/2017 Sb. a návrhu č. 2025-0274:</w:t>
      </w:r>
    </w:p>
    <w:p w:rsidR="00A77B3E">
      <w:pPr>
        <w:pStyle w:val="6"/>
      </w:pPr>
      <w:r>
        <w:t>Nebyla zadána žádná veřejnoprávní povinnost.</w:t>
      </w:r>
    </w:p>
    <w:sectPr>
      <w:headerReference w:type="even" r:id="rId4"/>
      <w:headerReference w:type="default" r:id="rId5"/>
      <w:pgSz w:w="12240" w:h="15840"/>
      <w:pgMar w:top="1417" w:right="1417" w:bottom="1417" w:left="1417" w:header="400" w:footer="708" w:gutter="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lef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center"/>
          </w:pPr>
        </w:p>
      </w:tc>
    </w:tr>
  </w:tbl>
  <w:p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righ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left"/>
          </w:pPr>
        </w:p>
      </w:tc>
    </w:tr>
  </w:tbl>
  <w:p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evenAndOddHeader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lavicka">
    <w:name w:val="Hlavicka"/>
    <w:rPr>
      <w:i/>
      <w:sz w:val="20"/>
    </w:rPr>
  </w:style>
  <w:style w:type="paragraph" w:customStyle="1" w:styleId="HlavickaZlutyText">
    <w:name w:val="HlavickaZlutyText"/>
    <w:rPr>
      <w:i w:val="0"/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konec">
    <w:name w:val="Varianta_konec"/>
    <w:pPr>
      <w:pBdr>
        <w:bottom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start">
    <w:name w:val="Ucinnost_start"/>
    <w:pPr>
      <w:pBdr>
        <w:top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konec">
    <w:name w:val="Ucinnost_konec"/>
    <w:pPr>
      <w:pBdr>
        <w:bottom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Celex">
    <w:name w:val="Celex"/>
    <w:pPr>
      <w:spacing w:before="120" w:after="120"/>
      <w:jc w:val="left"/>
    </w:pPr>
    <w:rPr>
      <w:rFonts w:ascii="Times New Roman" w:eastAsia="Times New Roman" w:hAnsi="Times New Roman" w:cs="Times New Roman"/>
      <w:i/>
      <w:sz w:val="20"/>
    </w:rPr>
  </w:style>
  <w:style w:type="paragraph" w:customStyle="1" w:styleId="Pripominkystart">
    <w:name w:val="Pripominky_start"/>
    <w:pPr>
      <w:pBdr>
        <w:top w:val="single" w:sz="8" w:space="0" w:color="87CEFA"/>
      </w:pBdr>
      <w:spacing w:before="0" w:after="10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">
    <w:name w:val="1"/>
    <w:pPr>
      <w:spacing w:before="11" w:after="0"/>
      <w:ind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2">
    <w:name w:val="2"/>
    <w:pPr>
      <w:spacing w:before="11" w:after="0"/>
      <w:ind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3">
    <w:name w:val="3"/>
    <w:pPr>
      <w:spacing w:before="57" w:after="0"/>
      <w:ind w:right="227"/>
      <w:jc w:val="right"/>
    </w:pPr>
    <w:rPr>
      <w:rFonts w:ascii="Times New Roman" w:eastAsia="Times New Roman" w:hAnsi="Times New Roman" w:cs="Times New Roman"/>
      <w:b/>
      <w:sz w:val="40"/>
    </w:rPr>
  </w:style>
  <w:style w:type="paragraph" w:customStyle="1" w:styleId="4">
    <w:name w:val="4"/>
    <w:pPr>
      <w:spacing w:before="0" w:after="340"/>
      <w:ind w:left="680" w:right="680"/>
      <w:jc w:val="center"/>
    </w:pPr>
    <w:rPr>
      <w:rFonts w:ascii="Times New Roman" w:eastAsia="Times New Roman" w:hAnsi="Times New Roman" w:cs="Times New Roman"/>
      <w:b/>
      <w:sz w:val="44"/>
    </w:rPr>
  </w:style>
  <w:style w:type="paragraph" w:customStyle="1" w:styleId="5">
    <w:name w:val="5"/>
    <w:pPr>
      <w:spacing w:before="340" w:after="113"/>
      <w:ind w:left="850" w:right="850"/>
      <w:jc w:val="center"/>
    </w:pPr>
    <w:rPr>
      <w:rFonts w:ascii="Times New Roman" w:eastAsia="Times New Roman" w:hAnsi="Times New Roman" w:cs="Times New Roman"/>
      <w:b/>
      <w:sz w:val="34"/>
    </w:rPr>
  </w:style>
  <w:style w:type="paragraph" w:customStyle="1" w:styleId="6">
    <w:name w:val="6"/>
    <w:pPr>
      <w:spacing w:before="0" w:after="57"/>
      <w:ind w:right="0"/>
      <w:jc w:val="both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